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AB1" w:rsidRDefault="00D22AB1" w:rsidP="00D22AB1">
      <w:pPr>
        <w:pStyle w:val="Vc"/>
        <w:spacing w:before="240" w:after="0" w:line="240" w:lineRule="exact"/>
        <w:jc w:val="center"/>
        <w:rPr>
          <w:rFonts w:asciiTheme="majorHAnsi" w:hAnsiTheme="majorHAnsi"/>
          <w:szCs w:val="22"/>
        </w:rPr>
      </w:pPr>
      <w:bookmarkStart w:id="0" w:name="_GoBack"/>
      <w:bookmarkEnd w:id="0"/>
      <w:r>
        <w:rPr>
          <w:rFonts w:asciiTheme="majorHAnsi" w:hAnsiTheme="majorHAnsi"/>
          <w:szCs w:val="22"/>
        </w:rPr>
        <w:t>VÝROČNÍ ZPRÁVA za rok 2021</w:t>
      </w:r>
    </w:p>
    <w:p w:rsidR="00D22AB1" w:rsidRPr="00C72BAD" w:rsidRDefault="00D22AB1" w:rsidP="00D22AB1">
      <w:pPr>
        <w:spacing w:before="20" w:after="0" w:line="240" w:lineRule="exact"/>
        <w:jc w:val="center"/>
        <w:rPr>
          <w:rFonts w:asciiTheme="majorHAnsi" w:hAnsiTheme="majorHAnsi"/>
          <w:b/>
        </w:rPr>
      </w:pPr>
      <w:r w:rsidRPr="00C72BAD">
        <w:rPr>
          <w:rFonts w:asciiTheme="majorHAnsi" w:hAnsiTheme="majorHAnsi"/>
          <w:b/>
        </w:rPr>
        <w:t xml:space="preserve">o činnosti </w:t>
      </w:r>
      <w:r>
        <w:rPr>
          <w:rFonts w:asciiTheme="majorHAnsi" w:hAnsiTheme="majorHAnsi"/>
          <w:b/>
        </w:rPr>
        <w:t xml:space="preserve">organizace Sociální služby města </w:t>
      </w:r>
      <w:r w:rsidRPr="00C72BAD">
        <w:rPr>
          <w:rFonts w:asciiTheme="majorHAnsi" w:hAnsiTheme="majorHAnsi"/>
          <w:b/>
        </w:rPr>
        <w:t>Havlíčk</w:t>
      </w:r>
      <w:r w:rsidR="00F25ABB">
        <w:rPr>
          <w:rFonts w:asciiTheme="majorHAnsi" w:hAnsiTheme="majorHAnsi"/>
          <w:b/>
        </w:rPr>
        <w:t>ova</w:t>
      </w:r>
      <w:r w:rsidRPr="00C72BAD">
        <w:rPr>
          <w:rFonts w:asciiTheme="majorHAnsi" w:hAnsiTheme="majorHAnsi"/>
          <w:b/>
        </w:rPr>
        <w:t xml:space="preserve"> Brod</w:t>
      </w:r>
      <w:r w:rsidR="00F25ABB">
        <w:rPr>
          <w:rFonts w:asciiTheme="majorHAnsi" w:hAnsiTheme="majorHAnsi"/>
          <w:b/>
        </w:rPr>
        <w:t>u</w:t>
      </w:r>
      <w:r w:rsidRPr="00C72BAD">
        <w:rPr>
          <w:rFonts w:asciiTheme="majorHAnsi" w:hAnsiTheme="majorHAnsi"/>
          <w:b/>
        </w:rPr>
        <w:t xml:space="preserve"> v oblasti poskytování informací</w:t>
      </w:r>
    </w:p>
    <w:p w:rsidR="00D22AB1" w:rsidRPr="00C72BAD" w:rsidRDefault="00D22AB1" w:rsidP="00D22AB1">
      <w:pPr>
        <w:spacing w:before="20" w:after="0" w:line="240" w:lineRule="exact"/>
        <w:jc w:val="center"/>
        <w:rPr>
          <w:rFonts w:asciiTheme="majorHAnsi" w:hAnsiTheme="majorHAnsi"/>
        </w:rPr>
      </w:pPr>
      <w:r w:rsidRPr="00C72BAD">
        <w:rPr>
          <w:rFonts w:asciiTheme="majorHAnsi" w:hAnsiTheme="majorHAnsi"/>
        </w:rPr>
        <w:t>podle zákona č. 106/1999 Sb., o svobodném přístupu k informacím</w:t>
      </w:r>
    </w:p>
    <w:p w:rsidR="00D22AB1" w:rsidRPr="00C72BAD" w:rsidRDefault="00D22AB1" w:rsidP="00D22AB1">
      <w:pPr>
        <w:spacing w:after="0"/>
        <w:jc w:val="left"/>
        <w:rPr>
          <w:rFonts w:asciiTheme="majorHAnsi" w:hAnsiTheme="majorHAnsi"/>
          <w:szCs w:val="22"/>
        </w:rPr>
      </w:pPr>
    </w:p>
    <w:p w:rsidR="00D22AB1" w:rsidRDefault="00D22AB1" w:rsidP="00D22AB1">
      <w:pPr>
        <w:spacing w:before="60" w:after="0" w:line="240" w:lineRule="exact"/>
        <w:ind w:left="0"/>
        <w:rPr>
          <w:rFonts w:asciiTheme="majorHAnsi" w:hAnsiTheme="majorHAnsi"/>
          <w:color w:val="FF0000"/>
          <w:szCs w:val="22"/>
        </w:rPr>
      </w:pPr>
      <w:r>
        <w:rPr>
          <w:rFonts w:asciiTheme="majorHAnsi" w:hAnsiTheme="majorHAnsi"/>
          <w:szCs w:val="22"/>
        </w:rPr>
        <w:t xml:space="preserve">Podle § 18 zákona č. 106/1999 Sb., o svobodném přístupu k informacím je povinnému subjektu uloženo do 1. března zveřejnění výroční zprávy o činnosti v oblasti poskytování informací za předcházející kalendářní rok.   </w:t>
      </w:r>
    </w:p>
    <w:p w:rsidR="00D22AB1" w:rsidRDefault="00D22AB1" w:rsidP="00D22AB1">
      <w:pPr>
        <w:spacing w:before="60" w:after="0" w:line="240" w:lineRule="exact"/>
        <w:ind w:left="0"/>
        <w:rPr>
          <w:rFonts w:asciiTheme="majorHAnsi" w:hAnsiTheme="majorHAnsi"/>
          <w:szCs w:val="22"/>
        </w:rPr>
      </w:pPr>
      <w:r w:rsidRPr="00C8708F">
        <w:rPr>
          <w:rFonts w:asciiTheme="majorHAnsi" w:hAnsiTheme="majorHAnsi"/>
          <w:szCs w:val="22"/>
        </w:rPr>
        <w:t>V</w:t>
      </w:r>
      <w:r>
        <w:rPr>
          <w:rFonts w:asciiTheme="majorHAnsi" w:hAnsiTheme="majorHAnsi"/>
          <w:szCs w:val="22"/>
        </w:rPr>
        <w:t> </w:t>
      </w:r>
      <w:r w:rsidRPr="00C8708F">
        <w:rPr>
          <w:rFonts w:asciiTheme="majorHAnsi" w:hAnsiTheme="majorHAnsi"/>
          <w:szCs w:val="22"/>
        </w:rPr>
        <w:t>čís</w:t>
      </w:r>
      <w:r>
        <w:rPr>
          <w:rFonts w:asciiTheme="majorHAnsi" w:hAnsiTheme="majorHAnsi"/>
          <w:szCs w:val="22"/>
        </w:rPr>
        <w:t>e</w:t>
      </w:r>
      <w:r w:rsidRPr="00C8708F">
        <w:rPr>
          <w:rFonts w:asciiTheme="majorHAnsi" w:hAnsiTheme="majorHAnsi"/>
          <w:szCs w:val="22"/>
        </w:rPr>
        <w:t>lném</w:t>
      </w:r>
      <w:r>
        <w:rPr>
          <w:rFonts w:asciiTheme="majorHAnsi" w:hAnsiTheme="majorHAnsi"/>
          <w:szCs w:val="22"/>
        </w:rPr>
        <w:t xml:space="preserve"> souhrnu </w:t>
      </w:r>
      <w:r w:rsidRPr="00E8269F">
        <w:rPr>
          <w:rFonts w:asciiTheme="majorHAnsi" w:hAnsiTheme="majorHAnsi"/>
          <w:szCs w:val="22"/>
          <w:u w:val="single"/>
        </w:rPr>
        <w:t>nejsou uvedeny informace</w:t>
      </w:r>
      <w:r>
        <w:rPr>
          <w:rFonts w:asciiTheme="majorHAnsi" w:hAnsiTheme="majorHAnsi"/>
          <w:szCs w:val="22"/>
        </w:rPr>
        <w:t>, které nesplňují definici podle zákona č. 106/1999 Sb., mezi které patří:</w:t>
      </w:r>
    </w:p>
    <w:p w:rsidR="00D22AB1" w:rsidRDefault="00D22AB1" w:rsidP="00D22AB1">
      <w:pPr>
        <w:pStyle w:val="Odstavecseseznamem"/>
        <w:numPr>
          <w:ilvl w:val="0"/>
          <w:numId w:val="4"/>
        </w:numPr>
        <w:spacing w:before="60" w:after="0" w:line="240" w:lineRule="exact"/>
        <w:rPr>
          <w:rFonts w:asciiTheme="majorHAnsi" w:hAnsiTheme="majorHAnsi"/>
          <w:szCs w:val="22"/>
        </w:rPr>
      </w:pPr>
      <w:r>
        <w:rPr>
          <w:rFonts w:asciiTheme="majorHAnsi" w:hAnsiTheme="majorHAnsi"/>
          <w:szCs w:val="22"/>
        </w:rPr>
        <w:t>Informace vyřizované ústně nebo telefonicky pracovníky organizace v rámci běžné agendy</w:t>
      </w:r>
    </w:p>
    <w:p w:rsidR="00D22AB1" w:rsidRDefault="00D22AB1" w:rsidP="00D22AB1">
      <w:pPr>
        <w:pStyle w:val="Odstavecseseznamem"/>
        <w:numPr>
          <w:ilvl w:val="0"/>
          <w:numId w:val="4"/>
        </w:numPr>
        <w:spacing w:before="20" w:after="0" w:line="240" w:lineRule="exact"/>
        <w:ind w:left="714" w:hanging="357"/>
        <w:rPr>
          <w:rFonts w:asciiTheme="majorHAnsi" w:hAnsiTheme="majorHAnsi"/>
          <w:szCs w:val="22"/>
        </w:rPr>
      </w:pPr>
      <w:r>
        <w:rPr>
          <w:rFonts w:asciiTheme="majorHAnsi" w:hAnsiTheme="majorHAnsi"/>
          <w:szCs w:val="22"/>
        </w:rPr>
        <w:t>Informace poskytované členům zastupitelstva města podle zákona o obcích</w:t>
      </w:r>
    </w:p>
    <w:p w:rsidR="00D22AB1" w:rsidRDefault="00D22AB1" w:rsidP="00D22AB1">
      <w:pPr>
        <w:pStyle w:val="Odstavecseseznamem"/>
        <w:numPr>
          <w:ilvl w:val="0"/>
          <w:numId w:val="4"/>
        </w:numPr>
        <w:spacing w:before="20" w:after="0" w:line="240" w:lineRule="exact"/>
        <w:ind w:left="714" w:hanging="357"/>
        <w:rPr>
          <w:rFonts w:asciiTheme="majorHAnsi" w:hAnsiTheme="majorHAnsi"/>
          <w:szCs w:val="22"/>
        </w:rPr>
      </w:pPr>
      <w:r>
        <w:rPr>
          <w:rFonts w:asciiTheme="majorHAnsi" w:hAnsiTheme="majorHAnsi"/>
          <w:szCs w:val="22"/>
        </w:rPr>
        <w:t>Neformální dotazy z emailových schránek</w:t>
      </w:r>
    </w:p>
    <w:p w:rsidR="00D22AB1" w:rsidRDefault="00D22AB1" w:rsidP="00D22AB1">
      <w:pPr>
        <w:pStyle w:val="Odstavecseseznamem"/>
        <w:numPr>
          <w:ilvl w:val="0"/>
          <w:numId w:val="4"/>
        </w:numPr>
        <w:spacing w:before="20" w:after="0" w:line="240" w:lineRule="exact"/>
        <w:ind w:left="714" w:hanging="357"/>
        <w:rPr>
          <w:rFonts w:asciiTheme="majorHAnsi" w:hAnsiTheme="majorHAnsi"/>
          <w:szCs w:val="22"/>
        </w:rPr>
      </w:pPr>
      <w:r>
        <w:rPr>
          <w:rFonts w:asciiTheme="majorHAnsi" w:hAnsiTheme="majorHAnsi"/>
          <w:szCs w:val="22"/>
        </w:rPr>
        <w:t xml:space="preserve">Poskytování informačních materiálů </w:t>
      </w:r>
    </w:p>
    <w:p w:rsidR="00D22AB1" w:rsidRPr="00C8708F" w:rsidRDefault="00D22AB1" w:rsidP="00D22AB1">
      <w:pPr>
        <w:pStyle w:val="Odstavecseseznamem"/>
        <w:numPr>
          <w:ilvl w:val="0"/>
          <w:numId w:val="4"/>
        </w:numPr>
        <w:spacing w:before="20" w:after="0" w:line="240" w:lineRule="exact"/>
        <w:ind w:left="714" w:hanging="357"/>
        <w:rPr>
          <w:rFonts w:asciiTheme="majorHAnsi" w:hAnsiTheme="majorHAnsi"/>
          <w:szCs w:val="22"/>
        </w:rPr>
      </w:pPr>
      <w:r>
        <w:rPr>
          <w:rFonts w:asciiTheme="majorHAnsi" w:hAnsiTheme="majorHAnsi"/>
          <w:szCs w:val="22"/>
        </w:rPr>
        <w:t>Dotazy novinářů dle aktuální problematiky</w:t>
      </w:r>
    </w:p>
    <w:p w:rsidR="00D22AB1" w:rsidRDefault="00D22AB1" w:rsidP="00D22AB1">
      <w:pPr>
        <w:pStyle w:val="Odstavecseseznamem"/>
        <w:numPr>
          <w:ilvl w:val="0"/>
          <w:numId w:val="1"/>
        </w:numPr>
        <w:spacing w:before="160" w:after="0" w:line="240" w:lineRule="exact"/>
        <w:ind w:left="284" w:hanging="284"/>
        <w:rPr>
          <w:rFonts w:asciiTheme="majorHAnsi" w:hAnsiTheme="majorHAnsi"/>
          <w:b/>
          <w:szCs w:val="22"/>
        </w:rPr>
      </w:pPr>
      <w:r w:rsidRPr="00692059">
        <w:rPr>
          <w:rFonts w:asciiTheme="majorHAnsi" w:hAnsiTheme="majorHAnsi"/>
          <w:b/>
          <w:szCs w:val="22"/>
        </w:rPr>
        <w:t>Počet podaných žádostí o informace a počet vydaných rozhodnutí o odmítnutí žádosti</w:t>
      </w:r>
    </w:p>
    <w:p w:rsidR="00D22AB1" w:rsidRPr="00F25ABB" w:rsidRDefault="00D22AB1" w:rsidP="00D22AB1">
      <w:pPr>
        <w:pStyle w:val="Odstavecseseznamem"/>
        <w:numPr>
          <w:ilvl w:val="0"/>
          <w:numId w:val="2"/>
        </w:numPr>
        <w:spacing w:before="60" w:after="0" w:line="240" w:lineRule="exact"/>
        <w:rPr>
          <w:rFonts w:asciiTheme="majorHAnsi" w:hAnsiTheme="majorHAnsi"/>
          <w:szCs w:val="22"/>
        </w:rPr>
      </w:pPr>
      <w:r>
        <w:rPr>
          <w:rFonts w:asciiTheme="majorHAnsi" w:hAnsiTheme="majorHAnsi"/>
          <w:szCs w:val="22"/>
        </w:rPr>
        <w:t>Počet podaných žádosti v roce 2021</w:t>
      </w:r>
      <w:r>
        <w:rPr>
          <w:rFonts w:asciiTheme="majorHAnsi" w:hAnsiTheme="majorHAnsi"/>
          <w:szCs w:val="22"/>
        </w:rPr>
        <w:tab/>
      </w:r>
      <w:r>
        <w:rPr>
          <w:rFonts w:asciiTheme="majorHAnsi" w:hAnsiTheme="majorHAnsi"/>
          <w:szCs w:val="22"/>
        </w:rPr>
        <w:tab/>
      </w:r>
      <w:r w:rsidR="009F23B5">
        <w:rPr>
          <w:rFonts w:asciiTheme="majorHAnsi" w:hAnsiTheme="majorHAnsi"/>
          <w:b/>
          <w:szCs w:val="22"/>
        </w:rPr>
        <w:t>1</w:t>
      </w:r>
      <w:r w:rsidRPr="00F25ABB">
        <w:rPr>
          <w:rFonts w:asciiTheme="majorHAnsi" w:hAnsiTheme="majorHAnsi"/>
          <w:szCs w:val="22"/>
        </w:rPr>
        <w:tab/>
      </w:r>
      <w:r w:rsidRPr="00F25ABB">
        <w:rPr>
          <w:rFonts w:asciiTheme="majorHAnsi" w:hAnsiTheme="majorHAnsi"/>
          <w:szCs w:val="22"/>
        </w:rPr>
        <w:tab/>
      </w:r>
      <w:r w:rsidRPr="00F25ABB">
        <w:rPr>
          <w:rFonts w:asciiTheme="majorHAnsi" w:hAnsiTheme="majorHAnsi"/>
          <w:szCs w:val="22"/>
        </w:rPr>
        <w:tab/>
      </w:r>
      <w:r w:rsidRPr="00F25ABB">
        <w:rPr>
          <w:rFonts w:asciiTheme="majorHAnsi" w:hAnsiTheme="majorHAnsi"/>
          <w:szCs w:val="22"/>
        </w:rPr>
        <w:tab/>
      </w:r>
    </w:p>
    <w:p w:rsidR="00D22AB1" w:rsidRPr="00F25ABB" w:rsidRDefault="00D22AB1" w:rsidP="00D22AB1">
      <w:pPr>
        <w:pStyle w:val="Odstavecseseznamem"/>
        <w:numPr>
          <w:ilvl w:val="0"/>
          <w:numId w:val="2"/>
        </w:numPr>
        <w:spacing w:before="60" w:after="0" w:line="240" w:lineRule="exact"/>
        <w:rPr>
          <w:rFonts w:asciiTheme="majorHAnsi" w:hAnsiTheme="majorHAnsi"/>
          <w:szCs w:val="22"/>
        </w:rPr>
      </w:pPr>
      <w:r w:rsidRPr="00F25ABB">
        <w:rPr>
          <w:rFonts w:asciiTheme="majorHAnsi" w:hAnsiTheme="majorHAnsi"/>
          <w:szCs w:val="22"/>
        </w:rPr>
        <w:t>Počet rozhodnutí o odmítnutí žádosti</w:t>
      </w:r>
      <w:r w:rsidRPr="00F25ABB">
        <w:rPr>
          <w:rFonts w:asciiTheme="majorHAnsi" w:hAnsiTheme="majorHAnsi"/>
          <w:szCs w:val="22"/>
        </w:rPr>
        <w:tab/>
      </w:r>
      <w:r w:rsidRPr="00F25ABB">
        <w:rPr>
          <w:rFonts w:asciiTheme="majorHAnsi" w:hAnsiTheme="majorHAnsi"/>
          <w:szCs w:val="22"/>
        </w:rPr>
        <w:tab/>
      </w:r>
      <w:r w:rsidR="00F25ABB" w:rsidRPr="00F25ABB">
        <w:rPr>
          <w:rFonts w:asciiTheme="majorHAnsi" w:hAnsiTheme="majorHAnsi"/>
          <w:b/>
          <w:szCs w:val="22"/>
        </w:rPr>
        <w:t>0</w:t>
      </w:r>
      <w:r w:rsidRPr="00F25ABB">
        <w:rPr>
          <w:rFonts w:asciiTheme="majorHAnsi" w:hAnsiTheme="majorHAnsi"/>
          <w:szCs w:val="22"/>
        </w:rPr>
        <w:tab/>
      </w:r>
      <w:r w:rsidRPr="00F25ABB">
        <w:rPr>
          <w:rFonts w:asciiTheme="majorHAnsi" w:hAnsiTheme="majorHAnsi"/>
          <w:szCs w:val="22"/>
        </w:rPr>
        <w:tab/>
      </w:r>
      <w:r w:rsidRPr="00F25ABB">
        <w:rPr>
          <w:rFonts w:asciiTheme="majorHAnsi" w:hAnsiTheme="majorHAnsi"/>
          <w:szCs w:val="22"/>
        </w:rPr>
        <w:tab/>
      </w:r>
      <w:r w:rsidRPr="00F25ABB">
        <w:rPr>
          <w:rFonts w:asciiTheme="majorHAnsi" w:hAnsiTheme="majorHAnsi"/>
          <w:szCs w:val="22"/>
        </w:rPr>
        <w:tab/>
      </w:r>
      <w:r w:rsidRPr="00F25ABB">
        <w:rPr>
          <w:rFonts w:asciiTheme="majorHAnsi" w:hAnsiTheme="majorHAnsi"/>
          <w:szCs w:val="22"/>
        </w:rPr>
        <w:tab/>
      </w:r>
    </w:p>
    <w:p w:rsidR="00D22AB1" w:rsidRPr="00F25ABB" w:rsidRDefault="00D22AB1" w:rsidP="00D22AB1">
      <w:pPr>
        <w:pStyle w:val="Odstavecseseznamem"/>
        <w:spacing w:before="60" w:after="0" w:line="240" w:lineRule="exact"/>
        <w:ind w:left="1004" w:firstLine="412"/>
        <w:rPr>
          <w:rFonts w:asciiTheme="majorHAnsi" w:hAnsiTheme="majorHAnsi"/>
          <w:i/>
          <w:szCs w:val="22"/>
        </w:rPr>
      </w:pPr>
      <w:r w:rsidRPr="00F25ABB">
        <w:rPr>
          <w:rFonts w:asciiTheme="majorHAnsi" w:hAnsiTheme="majorHAnsi"/>
          <w:i/>
          <w:szCs w:val="22"/>
        </w:rPr>
        <w:t>z toho v částečném rozsahu</w:t>
      </w:r>
      <w:r w:rsidRPr="00F25ABB">
        <w:rPr>
          <w:rFonts w:asciiTheme="majorHAnsi" w:hAnsiTheme="majorHAnsi"/>
          <w:i/>
          <w:szCs w:val="22"/>
        </w:rPr>
        <w:tab/>
      </w:r>
      <w:r w:rsidRPr="00F25ABB">
        <w:rPr>
          <w:rFonts w:asciiTheme="majorHAnsi" w:hAnsiTheme="majorHAnsi"/>
          <w:i/>
          <w:szCs w:val="22"/>
        </w:rPr>
        <w:tab/>
      </w:r>
      <w:r w:rsidRPr="00F25ABB">
        <w:rPr>
          <w:rFonts w:asciiTheme="majorHAnsi" w:hAnsiTheme="majorHAnsi"/>
          <w:i/>
          <w:szCs w:val="22"/>
        </w:rPr>
        <w:tab/>
      </w:r>
      <w:r w:rsidR="00F25ABB" w:rsidRPr="00F25ABB">
        <w:rPr>
          <w:rFonts w:asciiTheme="majorHAnsi" w:hAnsiTheme="majorHAnsi"/>
          <w:szCs w:val="22"/>
        </w:rPr>
        <w:t>0</w:t>
      </w:r>
      <w:r w:rsidRPr="00F25ABB">
        <w:rPr>
          <w:rFonts w:asciiTheme="majorHAnsi" w:hAnsiTheme="majorHAnsi"/>
          <w:i/>
          <w:szCs w:val="22"/>
        </w:rPr>
        <w:tab/>
      </w:r>
      <w:r w:rsidRPr="00F25ABB">
        <w:rPr>
          <w:rFonts w:asciiTheme="majorHAnsi" w:hAnsiTheme="majorHAnsi"/>
          <w:i/>
          <w:szCs w:val="22"/>
        </w:rPr>
        <w:tab/>
      </w:r>
      <w:r w:rsidRPr="00F25ABB">
        <w:rPr>
          <w:rFonts w:asciiTheme="majorHAnsi" w:hAnsiTheme="majorHAnsi"/>
          <w:i/>
          <w:szCs w:val="22"/>
        </w:rPr>
        <w:tab/>
      </w:r>
      <w:r w:rsidRPr="00F25ABB">
        <w:rPr>
          <w:rFonts w:asciiTheme="majorHAnsi" w:hAnsiTheme="majorHAnsi"/>
          <w:i/>
          <w:szCs w:val="22"/>
        </w:rPr>
        <w:tab/>
      </w:r>
      <w:r w:rsidRPr="00F25ABB">
        <w:rPr>
          <w:rFonts w:asciiTheme="majorHAnsi" w:hAnsiTheme="majorHAnsi"/>
          <w:i/>
          <w:szCs w:val="22"/>
        </w:rPr>
        <w:tab/>
      </w:r>
    </w:p>
    <w:p w:rsidR="00D22AB1" w:rsidRPr="00F25ABB" w:rsidRDefault="00D22AB1" w:rsidP="00D22AB1">
      <w:pPr>
        <w:pStyle w:val="Odstavecseseznamem"/>
        <w:numPr>
          <w:ilvl w:val="0"/>
          <w:numId w:val="1"/>
        </w:numPr>
        <w:spacing w:before="160" w:after="0" w:line="240" w:lineRule="exact"/>
        <w:ind w:left="284" w:hanging="284"/>
        <w:rPr>
          <w:rFonts w:asciiTheme="majorHAnsi" w:hAnsiTheme="majorHAnsi"/>
          <w:b/>
          <w:szCs w:val="22"/>
        </w:rPr>
      </w:pPr>
      <w:r w:rsidRPr="00F25ABB">
        <w:rPr>
          <w:rFonts w:asciiTheme="majorHAnsi" w:hAnsiTheme="majorHAnsi"/>
          <w:b/>
          <w:szCs w:val="22"/>
        </w:rPr>
        <w:t>Počet podaných odvolání proti rozhodnutí</w:t>
      </w:r>
      <w:r w:rsidRPr="00F25ABB">
        <w:rPr>
          <w:rFonts w:asciiTheme="majorHAnsi" w:hAnsiTheme="majorHAnsi"/>
          <w:b/>
          <w:szCs w:val="22"/>
        </w:rPr>
        <w:tab/>
      </w:r>
      <w:r w:rsidRPr="00F25ABB">
        <w:rPr>
          <w:rFonts w:asciiTheme="majorHAnsi" w:hAnsiTheme="majorHAnsi"/>
          <w:b/>
          <w:szCs w:val="22"/>
        </w:rPr>
        <w:tab/>
      </w:r>
      <w:r w:rsidR="00F25ABB" w:rsidRPr="00F25ABB">
        <w:rPr>
          <w:rFonts w:asciiTheme="majorHAnsi" w:hAnsiTheme="majorHAnsi"/>
          <w:b/>
          <w:szCs w:val="22"/>
        </w:rPr>
        <w:t>0</w:t>
      </w:r>
      <w:r w:rsidRPr="00F25ABB">
        <w:rPr>
          <w:rFonts w:asciiTheme="majorHAnsi" w:hAnsiTheme="majorHAnsi"/>
          <w:b/>
          <w:szCs w:val="22"/>
        </w:rPr>
        <w:tab/>
      </w:r>
    </w:p>
    <w:p w:rsidR="00D22AB1" w:rsidRDefault="00D22AB1" w:rsidP="00D22AB1">
      <w:pPr>
        <w:pStyle w:val="Odstavecseseznamem"/>
        <w:numPr>
          <w:ilvl w:val="0"/>
          <w:numId w:val="1"/>
        </w:numPr>
        <w:spacing w:before="240" w:after="0" w:line="240" w:lineRule="exact"/>
        <w:ind w:left="284" w:hanging="284"/>
        <w:rPr>
          <w:rFonts w:asciiTheme="majorHAnsi" w:hAnsiTheme="majorHAnsi"/>
          <w:b/>
          <w:szCs w:val="22"/>
        </w:rPr>
      </w:pPr>
      <w:r w:rsidRPr="00692059">
        <w:rPr>
          <w:rFonts w:asciiTheme="majorHAnsi" w:hAnsiTheme="majorHAnsi"/>
          <w:b/>
          <w:szCs w:val="22"/>
        </w:rPr>
        <w:t xml:space="preserve">Opis podstatných částí každého rozsudku soudu ve věci přezkoumání zákonnosti rozhodnutí povinného subjektu o odmítnutí žádosti o poskytnutí informace </w:t>
      </w:r>
      <w:r>
        <w:rPr>
          <w:rFonts w:asciiTheme="majorHAnsi" w:hAnsiTheme="majorHAnsi"/>
          <w:b/>
          <w:szCs w:val="22"/>
        </w:rPr>
        <w:t xml:space="preserve">a </w:t>
      </w:r>
      <w:r w:rsidRPr="00692059">
        <w:rPr>
          <w:rFonts w:asciiTheme="majorHAnsi" w:hAnsiTheme="majorHAnsi"/>
          <w:b/>
          <w:szCs w:val="22"/>
        </w:rPr>
        <w:t>přehled všech výdajů, které povinný subjekt vynaložil v souvislosti se soudními řízeními o právech a povinnostech podle tohoto zákona, a to včetně nákladů na vlastní zaměstnance a nákladů na právní zastoupení</w:t>
      </w:r>
    </w:p>
    <w:p w:rsidR="00D22AB1" w:rsidRDefault="00D22AB1" w:rsidP="00D22AB1">
      <w:pPr>
        <w:pStyle w:val="Odstavecseseznamem"/>
        <w:numPr>
          <w:ilvl w:val="0"/>
          <w:numId w:val="3"/>
        </w:numPr>
        <w:spacing w:before="60" w:after="0" w:line="240" w:lineRule="exact"/>
        <w:rPr>
          <w:rFonts w:asciiTheme="majorHAnsi" w:hAnsiTheme="majorHAnsi"/>
          <w:szCs w:val="22"/>
        </w:rPr>
      </w:pPr>
      <w:r w:rsidRPr="00692059">
        <w:rPr>
          <w:rFonts w:asciiTheme="majorHAnsi" w:hAnsiTheme="majorHAnsi"/>
          <w:szCs w:val="22"/>
        </w:rPr>
        <w:t xml:space="preserve">Žádný rozsudek </w:t>
      </w:r>
      <w:r>
        <w:rPr>
          <w:rFonts w:asciiTheme="majorHAnsi" w:hAnsiTheme="majorHAnsi"/>
          <w:szCs w:val="22"/>
        </w:rPr>
        <w:t xml:space="preserve">ve věci přezkoumání zákonnosti rozhodnutí organizace o odmítnutí žádosti o poskytnutí informace </w:t>
      </w:r>
      <w:r w:rsidRPr="00C97917">
        <w:rPr>
          <w:rFonts w:asciiTheme="majorHAnsi" w:hAnsiTheme="majorHAnsi"/>
          <w:szCs w:val="22"/>
          <w:u w:val="single"/>
        </w:rPr>
        <w:t>nebyl v roce 2021 vydán</w:t>
      </w:r>
    </w:p>
    <w:p w:rsidR="00D22AB1" w:rsidRDefault="00D22AB1" w:rsidP="00D22AB1">
      <w:pPr>
        <w:pStyle w:val="Odstavecseseznamem"/>
        <w:numPr>
          <w:ilvl w:val="0"/>
          <w:numId w:val="3"/>
        </w:numPr>
        <w:spacing w:before="60" w:after="0" w:line="240" w:lineRule="exact"/>
        <w:rPr>
          <w:rFonts w:asciiTheme="majorHAnsi" w:hAnsiTheme="majorHAnsi"/>
          <w:szCs w:val="22"/>
        </w:rPr>
      </w:pPr>
      <w:r>
        <w:rPr>
          <w:rFonts w:asciiTheme="majorHAnsi" w:hAnsiTheme="majorHAnsi"/>
          <w:szCs w:val="22"/>
        </w:rPr>
        <w:t>Přehled výdajů v souvislosti se soudními řízeními v roce 2021 – žádné výdaje</w:t>
      </w:r>
    </w:p>
    <w:p w:rsidR="00D22AB1" w:rsidRDefault="00D22AB1" w:rsidP="00D22AB1">
      <w:pPr>
        <w:pStyle w:val="Odstavecseseznamem"/>
        <w:numPr>
          <w:ilvl w:val="0"/>
          <w:numId w:val="1"/>
        </w:numPr>
        <w:spacing w:before="240" w:after="0" w:line="240" w:lineRule="exact"/>
        <w:ind w:left="284" w:hanging="284"/>
        <w:rPr>
          <w:rFonts w:asciiTheme="majorHAnsi" w:hAnsiTheme="majorHAnsi"/>
          <w:b/>
          <w:szCs w:val="22"/>
        </w:rPr>
      </w:pPr>
      <w:r w:rsidRPr="00692059">
        <w:rPr>
          <w:rFonts w:asciiTheme="majorHAnsi" w:hAnsiTheme="majorHAnsi"/>
          <w:b/>
          <w:szCs w:val="22"/>
        </w:rPr>
        <w:t>Výčet poskytnutých výhradních licencí, včetně odůvodnění nezbytnosti poskytnutí výhradní licence</w:t>
      </w:r>
    </w:p>
    <w:p w:rsidR="00D22AB1" w:rsidRPr="00692059" w:rsidRDefault="00D22AB1" w:rsidP="00D22AB1">
      <w:pPr>
        <w:pStyle w:val="Odstavecseseznamem"/>
        <w:numPr>
          <w:ilvl w:val="0"/>
          <w:numId w:val="2"/>
        </w:numPr>
        <w:spacing w:before="60" w:after="0" w:line="240" w:lineRule="exact"/>
        <w:rPr>
          <w:rFonts w:asciiTheme="majorHAnsi" w:hAnsiTheme="majorHAnsi"/>
          <w:szCs w:val="22"/>
        </w:rPr>
      </w:pPr>
      <w:r w:rsidRPr="00692059">
        <w:rPr>
          <w:rFonts w:asciiTheme="majorHAnsi" w:hAnsiTheme="majorHAnsi"/>
          <w:szCs w:val="22"/>
        </w:rPr>
        <w:t>Výhradní licence</w:t>
      </w:r>
      <w:r>
        <w:rPr>
          <w:rFonts w:asciiTheme="majorHAnsi" w:hAnsiTheme="majorHAnsi"/>
          <w:szCs w:val="22"/>
        </w:rPr>
        <w:t xml:space="preserve"> v roce 2021 nebyly poskytnuty</w:t>
      </w:r>
    </w:p>
    <w:p w:rsidR="00D22AB1" w:rsidRDefault="00D22AB1" w:rsidP="00D22AB1">
      <w:pPr>
        <w:pStyle w:val="Odstavecseseznamem"/>
        <w:numPr>
          <w:ilvl w:val="0"/>
          <w:numId w:val="1"/>
        </w:numPr>
        <w:spacing w:before="160" w:after="0" w:line="240" w:lineRule="exact"/>
        <w:ind w:left="284" w:hanging="284"/>
        <w:rPr>
          <w:rFonts w:asciiTheme="majorHAnsi" w:hAnsiTheme="majorHAnsi"/>
          <w:b/>
          <w:szCs w:val="22"/>
        </w:rPr>
      </w:pPr>
      <w:r w:rsidRPr="00692059">
        <w:rPr>
          <w:rFonts w:asciiTheme="majorHAnsi" w:hAnsiTheme="majorHAnsi"/>
          <w:b/>
          <w:szCs w:val="22"/>
        </w:rPr>
        <w:t xml:space="preserve">Počet stížností podaných podle § 16a </w:t>
      </w:r>
      <w:proofErr w:type="spellStart"/>
      <w:r w:rsidRPr="00692059">
        <w:rPr>
          <w:rFonts w:asciiTheme="majorHAnsi" w:hAnsiTheme="majorHAnsi"/>
          <w:b/>
          <w:szCs w:val="22"/>
        </w:rPr>
        <w:t>Infozákona</w:t>
      </w:r>
      <w:proofErr w:type="spellEnd"/>
      <w:r w:rsidRPr="00692059">
        <w:rPr>
          <w:rFonts w:asciiTheme="majorHAnsi" w:hAnsiTheme="majorHAnsi"/>
          <w:b/>
          <w:szCs w:val="22"/>
        </w:rPr>
        <w:t>, důvody jejich podání a stručný popis způsobu jejich vyřízení</w:t>
      </w:r>
    </w:p>
    <w:p w:rsidR="00D22AB1" w:rsidRPr="00F25ABB" w:rsidRDefault="00D22AB1" w:rsidP="00D22AB1">
      <w:pPr>
        <w:pStyle w:val="Odstavecseseznamem"/>
        <w:numPr>
          <w:ilvl w:val="0"/>
          <w:numId w:val="2"/>
        </w:numPr>
        <w:spacing w:before="60" w:after="0" w:line="240" w:lineRule="exact"/>
        <w:rPr>
          <w:rFonts w:asciiTheme="majorHAnsi" w:hAnsiTheme="majorHAnsi"/>
          <w:b/>
          <w:szCs w:val="22"/>
        </w:rPr>
      </w:pPr>
      <w:r w:rsidRPr="00F25ABB">
        <w:rPr>
          <w:rFonts w:asciiTheme="majorHAnsi" w:hAnsiTheme="majorHAnsi"/>
          <w:szCs w:val="22"/>
        </w:rPr>
        <w:t xml:space="preserve">Počet stížností podaných podle § 16a </w:t>
      </w:r>
      <w:proofErr w:type="spellStart"/>
      <w:r w:rsidRPr="00F25ABB">
        <w:rPr>
          <w:rFonts w:asciiTheme="majorHAnsi" w:hAnsiTheme="majorHAnsi"/>
          <w:szCs w:val="22"/>
        </w:rPr>
        <w:t>Infozákona</w:t>
      </w:r>
      <w:proofErr w:type="spellEnd"/>
      <w:r w:rsidRPr="00F25ABB">
        <w:rPr>
          <w:rFonts w:asciiTheme="majorHAnsi" w:hAnsiTheme="majorHAnsi"/>
          <w:szCs w:val="22"/>
        </w:rPr>
        <w:tab/>
      </w:r>
      <w:r w:rsidRPr="00F25ABB">
        <w:rPr>
          <w:rFonts w:asciiTheme="majorHAnsi" w:hAnsiTheme="majorHAnsi"/>
          <w:szCs w:val="22"/>
        </w:rPr>
        <w:tab/>
      </w:r>
      <w:r w:rsidRPr="00F25ABB">
        <w:rPr>
          <w:rFonts w:asciiTheme="majorHAnsi" w:hAnsiTheme="majorHAnsi"/>
          <w:szCs w:val="22"/>
        </w:rPr>
        <w:tab/>
      </w:r>
      <w:r w:rsidR="00F25ABB" w:rsidRPr="00F25ABB">
        <w:rPr>
          <w:rFonts w:asciiTheme="majorHAnsi" w:hAnsiTheme="majorHAnsi"/>
          <w:b/>
          <w:szCs w:val="22"/>
        </w:rPr>
        <w:t>0</w:t>
      </w:r>
    </w:p>
    <w:p w:rsidR="00D22AB1" w:rsidRDefault="00D22AB1" w:rsidP="00D22AB1">
      <w:pPr>
        <w:pStyle w:val="Odstavecseseznamem"/>
        <w:numPr>
          <w:ilvl w:val="0"/>
          <w:numId w:val="2"/>
        </w:numPr>
        <w:spacing w:before="60" w:after="0" w:line="240" w:lineRule="exact"/>
        <w:rPr>
          <w:rFonts w:asciiTheme="majorHAnsi" w:hAnsiTheme="majorHAnsi"/>
          <w:szCs w:val="22"/>
        </w:rPr>
      </w:pPr>
      <w:r>
        <w:rPr>
          <w:rFonts w:asciiTheme="majorHAnsi" w:hAnsiTheme="majorHAnsi"/>
          <w:szCs w:val="22"/>
        </w:rPr>
        <w:t>Důvody podání stížností:</w:t>
      </w:r>
      <w:r w:rsidR="00F25ABB">
        <w:rPr>
          <w:rFonts w:asciiTheme="majorHAnsi" w:hAnsiTheme="majorHAnsi"/>
          <w:szCs w:val="22"/>
        </w:rPr>
        <w:t xml:space="preserve"> -</w:t>
      </w:r>
    </w:p>
    <w:p w:rsidR="00D22AB1" w:rsidRPr="00692059" w:rsidRDefault="00D22AB1" w:rsidP="00D22AB1">
      <w:pPr>
        <w:pStyle w:val="Odstavecseseznamem"/>
        <w:numPr>
          <w:ilvl w:val="0"/>
          <w:numId w:val="1"/>
        </w:numPr>
        <w:spacing w:before="160" w:after="0" w:line="240" w:lineRule="exact"/>
        <w:ind w:left="284" w:hanging="284"/>
        <w:rPr>
          <w:rFonts w:asciiTheme="majorHAnsi" w:hAnsiTheme="majorHAnsi"/>
          <w:b/>
          <w:szCs w:val="22"/>
        </w:rPr>
      </w:pPr>
      <w:r w:rsidRPr="00692059">
        <w:rPr>
          <w:rFonts w:asciiTheme="majorHAnsi" w:hAnsiTheme="majorHAnsi"/>
          <w:b/>
          <w:szCs w:val="22"/>
        </w:rPr>
        <w:t>Další informace vztahující se k uplatňování tohoto zákona</w:t>
      </w:r>
    </w:p>
    <w:p w:rsidR="00D22AB1" w:rsidRDefault="00D22AB1" w:rsidP="00D22AB1">
      <w:pPr>
        <w:pStyle w:val="Odstavecseseznamem"/>
        <w:numPr>
          <w:ilvl w:val="0"/>
          <w:numId w:val="2"/>
        </w:numPr>
        <w:spacing w:before="60" w:after="0" w:line="240" w:lineRule="exact"/>
        <w:rPr>
          <w:rFonts w:asciiTheme="majorHAnsi" w:hAnsiTheme="majorHAnsi"/>
          <w:szCs w:val="22"/>
        </w:rPr>
      </w:pPr>
      <w:r>
        <w:rPr>
          <w:rFonts w:asciiTheme="majorHAnsi" w:hAnsiTheme="majorHAnsi"/>
          <w:szCs w:val="22"/>
        </w:rPr>
        <w:t>V roce 2021 nebyla požadována úhrada nákladů, spojených s poskytování informací</w:t>
      </w:r>
    </w:p>
    <w:p w:rsidR="00D22AB1" w:rsidRPr="00526852" w:rsidRDefault="00D22AB1" w:rsidP="00D22AB1">
      <w:pPr>
        <w:pStyle w:val="Odstavecseseznamem"/>
        <w:numPr>
          <w:ilvl w:val="0"/>
          <w:numId w:val="2"/>
        </w:numPr>
        <w:spacing w:before="60" w:after="0" w:line="240" w:lineRule="exact"/>
        <w:rPr>
          <w:rFonts w:asciiTheme="majorHAnsi" w:hAnsiTheme="majorHAnsi"/>
          <w:szCs w:val="22"/>
        </w:rPr>
      </w:pPr>
      <w:r w:rsidRPr="00526852">
        <w:rPr>
          <w:rFonts w:asciiTheme="majorHAnsi" w:hAnsiTheme="majorHAnsi"/>
          <w:szCs w:val="22"/>
        </w:rPr>
        <w:t>Obsah informací poskytnutých na žádost je v souladu s § 5 zákona č. 106/1999 Sb., o svobodném přístupu k</w:t>
      </w:r>
      <w:r>
        <w:rPr>
          <w:rFonts w:asciiTheme="majorHAnsi" w:hAnsiTheme="majorHAnsi"/>
          <w:szCs w:val="22"/>
        </w:rPr>
        <w:t> </w:t>
      </w:r>
      <w:r w:rsidRPr="00526852">
        <w:rPr>
          <w:rFonts w:asciiTheme="majorHAnsi" w:hAnsiTheme="majorHAnsi"/>
          <w:szCs w:val="22"/>
        </w:rPr>
        <w:t>info</w:t>
      </w:r>
      <w:r>
        <w:rPr>
          <w:rFonts w:asciiTheme="majorHAnsi" w:hAnsiTheme="majorHAnsi"/>
          <w:szCs w:val="22"/>
        </w:rPr>
        <w:t>rmacím zveřejněn na webových stránkách organizace</w:t>
      </w:r>
    </w:p>
    <w:p w:rsidR="00D22AB1" w:rsidRDefault="00D22AB1" w:rsidP="00D22AB1">
      <w:pPr>
        <w:pStyle w:val="Odstavecseseznamem"/>
        <w:numPr>
          <w:ilvl w:val="0"/>
          <w:numId w:val="2"/>
        </w:numPr>
        <w:spacing w:before="60" w:after="0" w:line="240" w:lineRule="exact"/>
        <w:rPr>
          <w:rFonts w:asciiTheme="majorHAnsi" w:hAnsiTheme="majorHAnsi"/>
          <w:szCs w:val="22"/>
        </w:rPr>
      </w:pPr>
      <w:r w:rsidRPr="006019A2">
        <w:rPr>
          <w:rFonts w:asciiTheme="majorHAnsi" w:hAnsiTheme="majorHAnsi"/>
          <w:szCs w:val="22"/>
        </w:rPr>
        <w:t xml:space="preserve">Na webových stránkách jsou </w:t>
      </w:r>
      <w:r>
        <w:rPr>
          <w:rFonts w:asciiTheme="majorHAnsi" w:hAnsiTheme="majorHAnsi"/>
          <w:szCs w:val="22"/>
        </w:rPr>
        <w:t xml:space="preserve">dále </w:t>
      </w:r>
      <w:r w:rsidRPr="006019A2">
        <w:rPr>
          <w:rFonts w:asciiTheme="majorHAnsi" w:hAnsiTheme="majorHAnsi"/>
          <w:szCs w:val="22"/>
        </w:rPr>
        <w:t>zveřejňovány aktuální informace</w:t>
      </w:r>
      <w:r>
        <w:rPr>
          <w:rFonts w:asciiTheme="majorHAnsi" w:hAnsiTheme="majorHAnsi"/>
          <w:szCs w:val="22"/>
        </w:rPr>
        <w:t xml:space="preserve"> o činnosti organizace</w:t>
      </w:r>
      <w:r w:rsidRPr="006019A2">
        <w:rPr>
          <w:rFonts w:asciiTheme="majorHAnsi" w:hAnsiTheme="majorHAnsi"/>
          <w:szCs w:val="22"/>
        </w:rPr>
        <w:t xml:space="preserve"> </w:t>
      </w:r>
    </w:p>
    <w:p w:rsidR="00D22AB1" w:rsidRDefault="00D22AB1" w:rsidP="00D22AB1">
      <w:pPr>
        <w:spacing w:before="60" w:after="0" w:line="240" w:lineRule="exact"/>
        <w:rPr>
          <w:rFonts w:asciiTheme="majorHAnsi" w:hAnsiTheme="majorHAnsi"/>
          <w:szCs w:val="22"/>
        </w:rPr>
      </w:pPr>
    </w:p>
    <w:p w:rsidR="00D22AB1" w:rsidRDefault="00D22AB1" w:rsidP="00D22AB1">
      <w:pPr>
        <w:spacing w:before="60" w:after="0" w:line="240" w:lineRule="exact"/>
        <w:rPr>
          <w:rFonts w:asciiTheme="majorHAnsi" w:hAnsiTheme="majorHAnsi"/>
          <w:szCs w:val="22"/>
        </w:rPr>
      </w:pPr>
      <w:r>
        <w:rPr>
          <w:rFonts w:asciiTheme="majorHAnsi" w:hAnsiTheme="majorHAnsi"/>
          <w:szCs w:val="22"/>
        </w:rPr>
        <w:t>Vypracoval:</w:t>
      </w:r>
      <w:r w:rsidR="004F5467">
        <w:rPr>
          <w:rFonts w:asciiTheme="majorHAnsi" w:hAnsiTheme="majorHAnsi"/>
          <w:szCs w:val="22"/>
        </w:rPr>
        <w:t xml:space="preserve">  Ing. Ivana </w:t>
      </w:r>
      <w:proofErr w:type="spellStart"/>
      <w:r w:rsidR="004F5467">
        <w:rPr>
          <w:rFonts w:asciiTheme="majorHAnsi" w:hAnsiTheme="majorHAnsi"/>
          <w:szCs w:val="22"/>
        </w:rPr>
        <w:t>Julišová</w:t>
      </w:r>
      <w:proofErr w:type="spellEnd"/>
      <w:r>
        <w:rPr>
          <w:rFonts w:asciiTheme="majorHAnsi" w:hAnsiTheme="majorHAnsi"/>
          <w:szCs w:val="22"/>
        </w:rPr>
        <w:tab/>
      </w:r>
      <w:r>
        <w:rPr>
          <w:rFonts w:asciiTheme="majorHAnsi" w:hAnsiTheme="majorHAnsi"/>
          <w:szCs w:val="22"/>
        </w:rPr>
        <w:tab/>
      </w:r>
      <w:r>
        <w:rPr>
          <w:rFonts w:asciiTheme="majorHAnsi" w:hAnsiTheme="majorHAnsi"/>
          <w:szCs w:val="22"/>
        </w:rPr>
        <w:tab/>
      </w:r>
      <w:r w:rsidR="004F5467">
        <w:rPr>
          <w:rFonts w:asciiTheme="majorHAnsi" w:hAnsiTheme="majorHAnsi"/>
          <w:szCs w:val="22"/>
        </w:rPr>
        <w:t xml:space="preserve">           </w:t>
      </w:r>
      <w:r>
        <w:rPr>
          <w:rFonts w:asciiTheme="majorHAnsi" w:hAnsiTheme="majorHAnsi"/>
          <w:szCs w:val="22"/>
        </w:rPr>
        <w:t>Schválil:</w:t>
      </w:r>
      <w:r w:rsidR="004F5467">
        <w:rPr>
          <w:rFonts w:asciiTheme="majorHAnsi" w:hAnsiTheme="majorHAnsi"/>
          <w:szCs w:val="22"/>
        </w:rPr>
        <w:t xml:space="preserve"> Mgr. Magdalena Kufrová</w:t>
      </w:r>
    </w:p>
    <w:p w:rsidR="00643E6B" w:rsidRDefault="00643E6B"/>
    <w:sectPr w:rsidR="00643E6B" w:rsidSect="004F5467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C5C9A"/>
    <w:multiLevelType w:val="hybridMultilevel"/>
    <w:tmpl w:val="B6AEAABC"/>
    <w:lvl w:ilvl="0" w:tplc="650ABE04">
      <w:start w:val="1"/>
      <w:numFmt w:val="bullet"/>
      <w:lvlText w:val=""/>
      <w:lvlJc w:val="left"/>
      <w:pPr>
        <w:ind w:left="172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1">
    <w:nsid w:val="1CC4439E"/>
    <w:multiLevelType w:val="hybridMultilevel"/>
    <w:tmpl w:val="AE84B42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8E413B"/>
    <w:multiLevelType w:val="hybridMultilevel"/>
    <w:tmpl w:val="87CAE8A6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61F8298F"/>
    <w:multiLevelType w:val="hybridMultilevel"/>
    <w:tmpl w:val="FEEAEF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16202F7"/>
    <w:multiLevelType w:val="hybridMultilevel"/>
    <w:tmpl w:val="DFBA6482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AB1"/>
    <w:rsid w:val="002573DC"/>
    <w:rsid w:val="002B573C"/>
    <w:rsid w:val="0035203A"/>
    <w:rsid w:val="003728EB"/>
    <w:rsid w:val="00406FCA"/>
    <w:rsid w:val="0041393D"/>
    <w:rsid w:val="00483F83"/>
    <w:rsid w:val="00490096"/>
    <w:rsid w:val="004F5467"/>
    <w:rsid w:val="00600C18"/>
    <w:rsid w:val="00641EA2"/>
    <w:rsid w:val="00643E6B"/>
    <w:rsid w:val="00786213"/>
    <w:rsid w:val="00861079"/>
    <w:rsid w:val="008C0E01"/>
    <w:rsid w:val="008D4F25"/>
    <w:rsid w:val="00911AFF"/>
    <w:rsid w:val="00930895"/>
    <w:rsid w:val="009F23B5"/>
    <w:rsid w:val="00B250F1"/>
    <w:rsid w:val="00B325ED"/>
    <w:rsid w:val="00BA45C6"/>
    <w:rsid w:val="00C03DE6"/>
    <w:rsid w:val="00C62085"/>
    <w:rsid w:val="00C75C29"/>
    <w:rsid w:val="00CA0F65"/>
    <w:rsid w:val="00CA7CD9"/>
    <w:rsid w:val="00D22AB1"/>
    <w:rsid w:val="00D83D8A"/>
    <w:rsid w:val="00F25ABB"/>
    <w:rsid w:val="00FA1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22AB1"/>
    <w:pPr>
      <w:spacing w:after="240" w:line="260" w:lineRule="exact"/>
      <w:ind w:left="68" w:right="28"/>
      <w:jc w:val="both"/>
    </w:pPr>
    <w:rPr>
      <w:rFonts w:ascii="Trebuchet MS" w:eastAsia="Times New Roman" w:hAnsi="Trebuchet MS" w:cs="Times New Roman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Vc">
    <w:name w:val="Věc"/>
    <w:basedOn w:val="Normln"/>
    <w:next w:val="Normln"/>
    <w:rsid w:val="00D22AB1"/>
    <w:rPr>
      <w:b/>
    </w:rPr>
  </w:style>
  <w:style w:type="paragraph" w:styleId="Odstavecseseznamem">
    <w:name w:val="List Paragraph"/>
    <w:basedOn w:val="Normln"/>
    <w:uiPriority w:val="34"/>
    <w:qFormat/>
    <w:rsid w:val="00D22AB1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22AB1"/>
    <w:pPr>
      <w:spacing w:after="240" w:line="260" w:lineRule="exact"/>
      <w:ind w:left="68" w:right="28"/>
      <w:jc w:val="both"/>
    </w:pPr>
    <w:rPr>
      <w:rFonts w:ascii="Trebuchet MS" w:eastAsia="Times New Roman" w:hAnsi="Trebuchet MS" w:cs="Times New Roman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Vc">
    <w:name w:val="Věc"/>
    <w:basedOn w:val="Normln"/>
    <w:next w:val="Normln"/>
    <w:rsid w:val="00D22AB1"/>
    <w:rPr>
      <w:b/>
    </w:rPr>
  </w:style>
  <w:style w:type="paragraph" w:styleId="Odstavecseseznamem">
    <w:name w:val="List Paragraph"/>
    <w:basedOn w:val="Normln"/>
    <w:uiPriority w:val="34"/>
    <w:qFormat/>
    <w:rsid w:val="00D22AB1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350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izukalova</dc:creator>
  <cp:lastModifiedBy>Sekretariat</cp:lastModifiedBy>
  <cp:revision>4</cp:revision>
  <dcterms:created xsi:type="dcterms:W3CDTF">2022-08-08T08:59:00Z</dcterms:created>
  <dcterms:modified xsi:type="dcterms:W3CDTF">2022-08-08T09:02:00Z</dcterms:modified>
</cp:coreProperties>
</file>